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cs="Times New Roman"/>
          <w:b/>
          <w:b/>
          <w:sz w:val="26"/>
          <w:szCs w:val="26"/>
        </w:rPr>
      </w:pPr>
      <w:r>
        <w:rPr>
          <w:rFonts w:ascii="Times New Roman" w:hAnsi="Times New Roman"/>
          <w:b/>
          <w:sz w:val="26"/>
          <w:lang w:val="en-GB"/>
        </w:rPr>
        <w:t>Procurement Policy Statement by JSC NNEGC “Energoatom”</w:t>
      </w:r>
    </w:p>
    <w:p>
      <w:pPr>
        <w:pStyle w:val="Normal"/>
        <w:rPr>
          <w:rFonts w:ascii="Times New Roman" w:hAnsi="Times New Roman" w:cs="Times New Roman"/>
          <w:sz w:val="26"/>
          <w:szCs w:val="26"/>
          <w:lang w:val="en-GB"/>
        </w:rPr>
      </w:pPr>
      <w:r>
        <w:rPr>
          <w:rFonts w:cs="Times New Roman" w:ascii="Times New Roman" w:hAnsi="Times New Roman"/>
          <w:sz w:val="26"/>
          <w:szCs w:val="26"/>
          <w:lang w:val="en-GB"/>
        </w:rPr>
      </w:r>
    </w:p>
    <w:p>
      <w:pPr>
        <w:pStyle w:val="Normal"/>
        <w:ind w:hanging="0"/>
        <w:jc w:val="both"/>
        <w:rPr>
          <w:lang w:val="en-GB"/>
        </w:rPr>
      </w:pPr>
      <w:r>
        <w:rPr>
          <w:rFonts w:ascii="Times New Roman" w:hAnsi="Times New Roman"/>
          <w:color w:val="000000" w:themeColor="text1"/>
          <w:sz w:val="26"/>
          <w:lang w:val="en-GB"/>
        </w:rPr>
        <w:t>JSC NNEGC Energoatom performs the functions of the Operator of nuclear facilities in respect to the Affiliates “SS Zaporizhzhia NPP”, “SS Rivne NPP”, “SS South Ukraine NPP”, “SS Khmelnytskyi NPP”, the Central Spent Fuel Storage Facility, the nuclear facility for manufacturing of fuel assemblies for nuclear reactors of nuclear power plant, as provided for by legislative instruments, regulatory legal acts of Ukraine, nuclear and radiation safety rules and standards, as well as the Charter of JSC NNEGC “Energoatom”.</w:t>
      </w:r>
    </w:p>
    <w:p>
      <w:pPr>
        <w:pStyle w:val="Normal"/>
        <w:ind w:hanging="0"/>
        <w:jc w:val="both"/>
        <w:rPr>
          <w:rFonts w:ascii="Times New Roman" w:hAnsi="Times New Roman"/>
          <w:color w:val="000000" w:themeColor="text1"/>
          <w:sz w:val="26"/>
        </w:rPr>
      </w:pPr>
      <w:r>
        <w:rPr>
          <w:lang w:val="en-GB"/>
        </w:rPr>
      </w:r>
    </w:p>
    <w:p>
      <w:pPr>
        <w:pStyle w:val="Normal"/>
        <w:ind w:hanging="0"/>
        <w:jc w:val="both"/>
        <w:rPr>
          <w:lang w:val="en-GB"/>
        </w:rPr>
      </w:pPr>
      <w:r>
        <w:rPr>
          <w:rFonts w:ascii="Times New Roman" w:hAnsi="Times New Roman"/>
          <w:color w:val="000000" w:themeColor="text1"/>
          <w:sz w:val="26"/>
          <w:lang w:val="en-GB"/>
        </w:rPr>
        <w:t xml:space="preserve">The procurement policy of </w:t>
      </w:r>
      <w:r>
        <w:rPr>
          <w:rFonts w:ascii="Times New Roman" w:hAnsi="Times New Roman"/>
          <w:color w:val="000000" w:themeColor="text1"/>
          <w:sz w:val="26"/>
          <w:lang w:val="en-GB"/>
        </w:rPr>
        <w:t>JSC NNE</w:t>
      </w:r>
      <w:r>
        <w:rPr>
          <w:rFonts w:ascii="Times New Roman" w:hAnsi="Times New Roman"/>
          <w:color w:val="000000" w:themeColor="text1"/>
          <w:sz w:val="26"/>
          <w:lang w:val="en-GB"/>
        </w:rPr>
        <w:t>G</w:t>
      </w:r>
      <w:r>
        <w:rPr>
          <w:rFonts w:ascii="Times New Roman" w:hAnsi="Times New Roman"/>
          <w:color w:val="000000" w:themeColor="text1"/>
          <w:sz w:val="26"/>
          <w:lang w:val="en-GB"/>
        </w:rPr>
        <w:t>C “Energoatom” is based on the following factors:</w:t>
      </w:r>
    </w:p>
    <w:p>
      <w:pPr>
        <w:pStyle w:val="Normal"/>
        <w:ind w:hanging="0"/>
        <w:jc w:val="both"/>
        <w:rPr>
          <w:rFonts w:ascii="Times New Roman" w:hAnsi="Times New Roman"/>
          <w:color w:val="000000" w:themeColor="text1"/>
          <w:sz w:val="26"/>
        </w:rPr>
      </w:pPr>
      <w:r>
        <w:rPr>
          <w:lang w:val="en-GB"/>
        </w:rPr>
      </w:r>
    </w:p>
    <w:p>
      <w:pPr>
        <w:pStyle w:val="ListParagraph"/>
        <w:numPr>
          <w:ilvl w:val="0"/>
          <w:numId w:val="1"/>
        </w:numPr>
        <w:jc w:val="both"/>
        <w:rPr>
          <w:lang w:val="en-GB"/>
        </w:rPr>
      </w:pPr>
      <w:r>
        <w:rPr>
          <w:rFonts w:ascii="Times New Roman" w:hAnsi="Times New Roman"/>
          <w:b/>
          <w:color w:val="000000" w:themeColor="text1"/>
          <w:sz w:val="26"/>
          <w:lang w:val="en-GB"/>
        </w:rPr>
        <w:t>Responsibility</w:t>
      </w:r>
    </w:p>
    <w:p>
      <w:pPr>
        <w:pStyle w:val="ListParagraph"/>
        <w:numPr>
          <w:ilvl w:val="0"/>
          <w:numId w:val="0"/>
        </w:numPr>
        <w:ind w:left="1440" w:hanging="0"/>
        <w:jc w:val="both"/>
        <w:rPr>
          <w:rFonts w:ascii="Times New Roman" w:hAnsi="Times New Roman" w:cs="Times New Roman"/>
          <w:b/>
          <w:b/>
          <w:color w:val="000000" w:themeColor="text1"/>
          <w:sz w:val="26"/>
          <w:szCs w:val="26"/>
        </w:rPr>
      </w:pPr>
      <w:r>
        <w:rPr>
          <w:lang w:val="en-GB"/>
        </w:rPr>
      </w:r>
    </w:p>
    <w:p>
      <w:pPr>
        <w:pStyle w:val="ListParagraph"/>
        <w:numPr>
          <w:ilvl w:val="0"/>
          <w:numId w:val="2"/>
        </w:numPr>
        <w:jc w:val="both"/>
        <w:rPr>
          <w:rFonts w:ascii="Times New Roman" w:hAnsi="Times New Roman" w:cs="Times New Roman"/>
          <w:color w:val="000000" w:themeColor="text1"/>
          <w:sz w:val="26"/>
          <w:szCs w:val="26"/>
        </w:rPr>
      </w:pPr>
      <w:r>
        <w:rPr>
          <w:rFonts w:ascii="Times New Roman" w:hAnsi="Times New Roman"/>
          <w:color w:val="000000" w:themeColor="text1"/>
          <w:sz w:val="26"/>
          <w:lang w:val="en-GB"/>
        </w:rPr>
        <w:t>JSC NNEGC “Energoatom” bears full responsibility for the nuclear and radiation safety, physical and cyber security of nuclear facilities throughout all stages of their life cycle, and absolutely prioritizes safety over economic, technical, scientific and other objectives.  That responsibility is not transferred or delegated to any product manufacturers, work contractors or service providers.</w:t>
      </w:r>
    </w:p>
    <w:p>
      <w:pPr>
        <w:pStyle w:val="ListParagraph"/>
        <w:numPr>
          <w:ilvl w:val="0"/>
          <w:numId w:val="2"/>
        </w:numPr>
        <w:jc w:val="both"/>
        <w:rPr>
          <w:rFonts w:ascii="Times New Roman" w:hAnsi="Times New Roman" w:cs="Times New Roman"/>
          <w:color w:val="000000" w:themeColor="text1"/>
          <w:sz w:val="26"/>
          <w:szCs w:val="26"/>
        </w:rPr>
      </w:pPr>
      <w:r>
        <w:rPr>
          <w:rFonts w:ascii="Times New Roman" w:hAnsi="Times New Roman"/>
          <w:color w:val="000000" w:themeColor="text1"/>
          <w:sz w:val="26"/>
          <w:lang w:val="en-GB"/>
        </w:rPr>
        <w:t xml:space="preserve">JSC NNEGC “Energoatom” has introduced a transparent, consistent and detailed process for managing procurement and building-up procurement strategies to be in full compliance with laws governing public procurement, nuclear and radiation safety, and anti-corruption laws. </w:t>
      </w:r>
    </w:p>
    <w:p>
      <w:pPr>
        <w:pStyle w:val="ListParagraph"/>
        <w:numPr>
          <w:ilvl w:val="0"/>
          <w:numId w:val="2"/>
        </w:numPr>
        <w:jc w:val="both"/>
        <w:rPr>
          <w:rFonts w:ascii="Times New Roman" w:hAnsi="Times New Roman" w:cs="Times New Roman"/>
          <w:color w:val="000000" w:themeColor="text1"/>
          <w:sz w:val="26"/>
          <w:szCs w:val="26"/>
        </w:rPr>
      </w:pPr>
      <w:r>
        <w:rPr>
          <w:rFonts w:ascii="Times New Roman" w:hAnsi="Times New Roman"/>
          <w:color w:val="000000" w:themeColor="text1"/>
          <w:sz w:val="26"/>
          <w:lang w:val="en-GB"/>
        </w:rPr>
        <w:t xml:space="preserve">The owners of the procurement process and its sub-processes (both in the Company’s Head Office and its affiliates), acting within the scope of their assigned responsibilities, manage the process and sub-processes by allocating resources, analysing their effectiveness, monitoring performance indicators, defining and maintaining compliance with the rules governing the process in accordance with established requirements; they also provide the optimisation and improvement of the process and sub-processes. </w:t>
      </w:r>
    </w:p>
    <w:p>
      <w:pPr>
        <w:pStyle w:val="ListParagraph"/>
        <w:numPr>
          <w:ilvl w:val="0"/>
          <w:numId w:val="2"/>
        </w:numPr>
        <w:jc w:val="both"/>
        <w:rPr>
          <w:rFonts w:ascii="Times New Roman" w:hAnsi="Times New Roman" w:cs="Times New Roman"/>
          <w:color w:val="000000" w:themeColor="text1"/>
          <w:sz w:val="26"/>
          <w:szCs w:val="26"/>
        </w:rPr>
      </w:pPr>
      <w:r>
        <w:rPr>
          <w:rFonts w:ascii="Times New Roman" w:hAnsi="Times New Roman"/>
          <w:color w:val="000000" w:themeColor="text1"/>
          <w:sz w:val="26"/>
          <w:lang w:val="en-GB"/>
        </w:rPr>
        <w:t>JSC NNEGC “Energoatom” has instituted a clear division of responsibilities between its technical departments, which identify procurement needs, set out the requirements for products, works and services, and accept the deliverables under a contract, and its procurement departments, which manage the rest of the procurement cycle, including market analysis, interactions with suppliers, preparations of competitive technical specifications in consultation with customers, and follow-up of the procurement process.</w:t>
      </w:r>
    </w:p>
    <w:p>
      <w:pPr>
        <w:pStyle w:val="Normal"/>
        <w:jc w:val="both"/>
        <w:rPr>
          <w:rFonts w:ascii="Times New Roman" w:hAnsi="Times New Roman" w:cs="Times New Roman"/>
          <w:color w:val="000000" w:themeColor="text1"/>
          <w:sz w:val="16"/>
          <w:szCs w:val="16"/>
          <w:lang w:val="en-GB"/>
        </w:rPr>
      </w:pPr>
      <w:r>
        <w:rPr>
          <w:rFonts w:cs="Times New Roman" w:ascii="Times New Roman" w:hAnsi="Times New Roman"/>
          <w:color w:val="000000" w:themeColor="text1"/>
          <w:sz w:val="16"/>
          <w:szCs w:val="16"/>
          <w:lang w:val="en-GB"/>
        </w:rPr>
      </w:r>
    </w:p>
    <w:p>
      <w:pPr>
        <w:pStyle w:val="ListParagraph"/>
        <w:numPr>
          <w:ilvl w:val="0"/>
          <w:numId w:val="1"/>
        </w:numPr>
        <w:jc w:val="both"/>
        <w:rPr>
          <w:lang w:val="en-GB"/>
        </w:rPr>
      </w:pPr>
      <w:r>
        <w:rPr>
          <w:rFonts w:ascii="Times New Roman" w:hAnsi="Times New Roman"/>
          <w:b/>
          <w:color w:val="000000" w:themeColor="text1"/>
          <w:sz w:val="26"/>
          <w:lang w:val="en-GB"/>
        </w:rPr>
        <w:t>Fair and competitive procurement</w:t>
      </w:r>
    </w:p>
    <w:p>
      <w:pPr>
        <w:pStyle w:val="ListParagraph"/>
        <w:numPr>
          <w:ilvl w:val="0"/>
          <w:numId w:val="0"/>
        </w:numPr>
        <w:ind w:left="1440" w:hanging="0"/>
        <w:jc w:val="both"/>
        <w:rPr>
          <w:rFonts w:ascii="Times New Roman" w:hAnsi="Times New Roman" w:cs="Times New Roman"/>
          <w:b/>
          <w:b/>
          <w:color w:val="000000" w:themeColor="text1"/>
          <w:sz w:val="26"/>
          <w:szCs w:val="26"/>
        </w:rPr>
      </w:pPr>
      <w:r>
        <w:rPr>
          <w:lang w:val="en-GB"/>
        </w:rPr>
      </w:r>
    </w:p>
    <w:p>
      <w:pPr>
        <w:pStyle w:val="ListParagraph"/>
        <w:numPr>
          <w:ilvl w:val="0"/>
          <w:numId w:val="3"/>
        </w:numPr>
        <w:jc w:val="both"/>
        <w:rPr>
          <w:rFonts w:ascii="Times New Roman" w:hAnsi="Times New Roman" w:cs="Times New Roman"/>
          <w:color w:val="000000" w:themeColor="text1"/>
          <w:sz w:val="26"/>
          <w:szCs w:val="26"/>
        </w:rPr>
      </w:pPr>
      <w:r>
        <w:rPr>
          <w:rFonts w:ascii="Times New Roman" w:hAnsi="Times New Roman"/>
          <w:color w:val="000000" w:themeColor="text1"/>
          <w:sz w:val="26"/>
          <w:lang w:val="en-GB"/>
        </w:rPr>
        <w:t xml:space="preserve">JSC NNEGC “Energoatom” applies a classification-based approach in determining the requirements for goods, works or services, and for the management systems of product manufacturers, work contractors and service providers, as well as when selecting procedures for the product conformity assessment system depending on the product’s impact on the safety of nuclear installations. The Company implements simplified qualification procedures for direct national and international product manufacturers, work contractors and service providers whose products, works or services are procured to cover the needs of JSC NNEGC “Energoatom”, without failing to meet quality and safety requirements.  </w:t>
      </w:r>
    </w:p>
    <w:p>
      <w:pPr>
        <w:pStyle w:val="ListParagraph"/>
        <w:numPr>
          <w:ilvl w:val="0"/>
          <w:numId w:val="3"/>
        </w:numPr>
        <w:jc w:val="both"/>
        <w:rPr>
          <w:rFonts w:ascii="Times New Roman" w:hAnsi="Times New Roman" w:cs="Times New Roman"/>
          <w:color w:val="0070C0"/>
          <w:sz w:val="26"/>
          <w:szCs w:val="26"/>
        </w:rPr>
      </w:pPr>
      <w:r>
        <w:rPr>
          <w:rFonts w:ascii="Times New Roman" w:hAnsi="Times New Roman"/>
          <w:color w:val="000000" w:themeColor="text1"/>
          <w:sz w:val="26"/>
          <w:lang w:val="en-GB"/>
        </w:rPr>
        <w:t>JSC NNEGC “Energoatom” demonstrates its commitment to building trust in our procurement activities, as well as openness and impartiality in mutually beneficial cooperation with existing and potential national and international manufacturers of products for nuclear facilities; it introduces mechanisms to encourage them to establish direct contacts, optimising the supply chain and reducing the risks associated with bad-faith intermediaries.</w:t>
      </w:r>
      <w:r>
        <w:rPr>
          <w:rFonts w:ascii="Times New Roman" w:hAnsi="Times New Roman"/>
          <w:color w:val="0070C0"/>
          <w:sz w:val="26"/>
          <w:lang w:val="en-GB"/>
        </w:rPr>
        <w:t xml:space="preserve"> </w:t>
      </w:r>
    </w:p>
    <w:p>
      <w:pPr>
        <w:pStyle w:val="ListParagraph"/>
        <w:numPr>
          <w:ilvl w:val="0"/>
          <w:numId w:val="3"/>
        </w:numPr>
        <w:jc w:val="both"/>
        <w:rPr>
          <w:rFonts w:ascii="Times New Roman" w:hAnsi="Times New Roman" w:cs="Times New Roman"/>
          <w:color w:val="000000" w:themeColor="text1"/>
          <w:sz w:val="26"/>
          <w:szCs w:val="26"/>
        </w:rPr>
      </w:pPr>
      <w:r>
        <w:rPr>
          <w:rFonts w:ascii="Times New Roman" w:hAnsi="Times New Roman"/>
          <w:color w:val="000000" w:themeColor="text1"/>
          <w:sz w:val="26"/>
          <w:lang w:val="en-GB"/>
        </w:rPr>
        <w:t>JSC NNEGC “Energoatom, under no circumstances and in no way, has granted, grants, or intends to grant any rights or powers to third parties (whether legal entities or individuals) to act on behalf of or in the interests of the Company in relation to the procurement of goods, works and services.</w:t>
      </w:r>
    </w:p>
    <w:p>
      <w:pPr>
        <w:pStyle w:val="ListParagraph"/>
        <w:numPr>
          <w:ilvl w:val="0"/>
          <w:numId w:val="3"/>
        </w:numPr>
        <w:jc w:val="both"/>
        <w:rPr>
          <w:lang w:val="en-GB"/>
        </w:rPr>
      </w:pPr>
      <w:r>
        <w:rPr>
          <w:rFonts w:ascii="Times New Roman" w:hAnsi="Times New Roman"/>
          <w:color w:val="000000" w:themeColor="text1"/>
          <w:sz w:val="26"/>
          <w:lang w:val="en-GB"/>
        </w:rPr>
        <w:t xml:space="preserve"> </w:t>
      </w:r>
      <w:r>
        <w:rPr>
          <w:rFonts w:ascii="Times New Roman" w:hAnsi="Times New Roman"/>
          <w:color w:val="000000" w:themeColor="text1"/>
          <w:sz w:val="26"/>
          <w:lang w:val="en-GB"/>
        </w:rPr>
        <w:t>JSC NNEGC “Energoatom” emphasises the importance of ensuring that any unfair practices in dealing with suppliers are categorically eliminated, a competitive environment is expanded, the quality of technical specifications development is improved along with the arrangement of procurement into lots.</w:t>
      </w:r>
    </w:p>
    <w:p>
      <w:pPr>
        <w:pStyle w:val="ListParagraph"/>
        <w:numPr>
          <w:ilvl w:val="0"/>
          <w:numId w:val="3"/>
        </w:numPr>
        <w:jc w:val="both"/>
        <w:rPr>
          <w:rFonts w:ascii="Times New Roman" w:hAnsi="Times New Roman" w:cs="Times New Roman"/>
          <w:color w:val="000000" w:themeColor="text1"/>
          <w:sz w:val="26"/>
          <w:szCs w:val="26"/>
        </w:rPr>
      </w:pPr>
      <w:r>
        <w:rPr>
          <w:rFonts w:eastAsia="Calibri" w:cs="" w:ascii="Times New Roman" w:hAnsi="Times New Roman"/>
          <w:color w:val="000000" w:themeColor="text1"/>
          <w:kern w:val="0"/>
          <w:sz w:val="26"/>
          <w:szCs w:val="22"/>
          <w:lang w:val="en-GB" w:eastAsia="en-US" w:bidi="ar-SA"/>
        </w:rPr>
        <w:t xml:space="preserve">JSC NNEGC “Energoatom” adheres to a zero-tolerance policy in its legal relationship with suppliers regarding any form of corruption; any attempts to supply counterfeit, forged or fraudulent products; concealment of the origin of products; and so on. </w:t>
      </w:r>
    </w:p>
    <w:p>
      <w:pPr>
        <w:pStyle w:val="Normal"/>
        <w:jc w:val="both"/>
        <w:rPr>
          <w:rFonts w:ascii="Times New Roman" w:hAnsi="Times New Roman" w:eastAsia="Calibri" w:cs=""/>
          <w:color w:val="000000" w:themeColor="text1"/>
          <w:kern w:val="0"/>
          <w:sz w:val="26"/>
          <w:szCs w:val="22"/>
          <w:lang w:val="en-GB" w:eastAsia="en-US" w:bidi="ar-SA"/>
        </w:rPr>
      </w:pPr>
      <w:r>
        <w:rPr>
          <w:rFonts w:eastAsia="Calibri" w:cs="" w:ascii="Times New Roman" w:hAnsi="Times New Roman"/>
          <w:color w:val="000000" w:themeColor="text1"/>
          <w:kern w:val="0"/>
          <w:sz w:val="26"/>
          <w:szCs w:val="22"/>
          <w:lang w:val="en-GB" w:eastAsia="en-US" w:bidi="ar-SA"/>
        </w:rPr>
      </w:r>
    </w:p>
    <w:p>
      <w:pPr>
        <w:pStyle w:val="ListParagraph"/>
        <w:numPr>
          <w:ilvl w:val="0"/>
          <w:numId w:val="1"/>
        </w:numPr>
        <w:jc w:val="both"/>
        <w:rPr>
          <w:lang w:val="en-GB"/>
        </w:rPr>
      </w:pPr>
      <w:r>
        <w:rPr>
          <w:rFonts w:ascii="Times New Roman" w:hAnsi="Times New Roman"/>
          <w:b/>
          <w:color w:val="000000" w:themeColor="text1"/>
          <w:sz w:val="26"/>
          <w:lang w:val="en-GB"/>
        </w:rPr>
        <w:t>Control</w:t>
      </w:r>
    </w:p>
    <w:p>
      <w:pPr>
        <w:pStyle w:val="ListParagraph"/>
        <w:numPr>
          <w:ilvl w:val="0"/>
          <w:numId w:val="0"/>
        </w:numPr>
        <w:ind w:left="1440" w:hanging="0"/>
        <w:jc w:val="both"/>
        <w:rPr>
          <w:rFonts w:ascii="Times New Roman" w:hAnsi="Times New Roman" w:cs="Times New Roman"/>
          <w:b/>
          <w:b/>
          <w:color w:val="000000" w:themeColor="text1"/>
          <w:sz w:val="26"/>
          <w:szCs w:val="26"/>
        </w:rPr>
      </w:pPr>
      <w:r>
        <w:rPr>
          <w:lang w:val="en-GB"/>
        </w:rPr>
      </w:r>
    </w:p>
    <w:p>
      <w:pPr>
        <w:pStyle w:val="ListParagraph"/>
        <w:numPr>
          <w:ilvl w:val="0"/>
          <w:numId w:val="4"/>
        </w:numPr>
        <w:jc w:val="both"/>
        <w:rPr>
          <w:rFonts w:ascii="Times New Roman" w:hAnsi="Times New Roman" w:eastAsia="Calibri" w:cs="Times New Roman"/>
          <w:color w:val="000000" w:themeColor="text1"/>
          <w:sz w:val="26"/>
          <w:szCs w:val="26"/>
        </w:rPr>
      </w:pPr>
      <w:r>
        <w:rPr>
          <w:rFonts w:ascii="Times New Roman" w:hAnsi="Times New Roman"/>
          <w:color w:val="000000" w:themeColor="text1"/>
          <w:sz w:val="26"/>
          <w:lang w:val="en-GB"/>
        </w:rPr>
        <w:t xml:space="preserve">JSC NNEGC “Energoatom” introduces additional mechanisms for financial control, compliance monitoring, and oversight of safety and quality requirements to be met by product manufacturers, work contractors and service providers. The role of anti-corruption controls is strengthened in all stages: from the identification of needs for to the acceptance of goods, works and services. </w:t>
      </w:r>
    </w:p>
    <w:p>
      <w:pPr>
        <w:pStyle w:val="ListParagraph"/>
        <w:numPr>
          <w:ilvl w:val="0"/>
          <w:numId w:val="4"/>
        </w:numPr>
        <w:jc w:val="both"/>
        <w:rPr>
          <w:lang w:val="en-GB"/>
        </w:rPr>
      </w:pPr>
      <w:r>
        <w:rPr>
          <w:rFonts w:ascii="Times New Roman" w:hAnsi="Times New Roman"/>
          <w:color w:val="000000" w:themeColor="text1"/>
          <w:sz w:val="26"/>
          <w:lang w:val="en-GB"/>
        </w:rPr>
        <w:t xml:space="preserve">JSC NNEGC “Energoatom” implements organisational measures in cooperation with representatives of the National Agency on Corruption Prevention (NACP) with a view to monitoring the Company’s </w:t>
      </w:r>
      <w:r>
        <w:rPr>
          <w:rFonts w:ascii="Times New Roman" w:hAnsi="Times New Roman"/>
          <w:color w:val="000000" w:themeColor="text1"/>
          <w:sz w:val="26"/>
          <w:highlight w:val="yellow"/>
          <w:lang w:val="en-GB"/>
        </w:rPr>
        <w:t xml:space="preserve">employees </w:t>
      </w:r>
      <w:r>
        <w:rPr>
          <w:rFonts w:ascii="Times New Roman" w:hAnsi="Times New Roman"/>
          <w:color w:val="000000" w:themeColor="text1"/>
          <w:sz w:val="26"/>
          <w:lang w:val="en-GB"/>
        </w:rPr>
        <w:t xml:space="preserve">who organise and are in charge of  public procurement procedures. </w:t>
      </w:r>
    </w:p>
    <w:p>
      <w:pPr>
        <w:pStyle w:val="ListParagraph"/>
        <w:numPr>
          <w:ilvl w:val="0"/>
          <w:numId w:val="4"/>
        </w:numPr>
        <w:jc w:val="both"/>
        <w:rPr>
          <w:lang w:val="en-GB"/>
        </w:rPr>
      </w:pPr>
      <w:r>
        <w:rPr>
          <w:rFonts w:ascii="Times New Roman" w:hAnsi="Times New Roman"/>
          <w:color w:val="000000" w:themeColor="text1"/>
          <w:sz w:val="26"/>
          <w:lang w:val="en-GB"/>
        </w:rPr>
        <w:t xml:space="preserve">JSC NNEGC “Energoatom” </w:t>
      </w:r>
      <w:r>
        <w:rPr>
          <w:rFonts w:ascii="Times New Roman" w:hAnsi="Times New Roman"/>
          <w:color w:val="000000" w:themeColor="text1"/>
          <w:sz w:val="26"/>
          <w:lang w:val="en-GB"/>
        </w:rPr>
        <w:t xml:space="preserve">establishes </w:t>
      </w:r>
      <w:r>
        <w:rPr>
          <w:rFonts w:ascii="Times New Roman" w:hAnsi="Times New Roman"/>
          <w:color w:val="000000" w:themeColor="text1"/>
          <w:sz w:val="26"/>
          <w:lang w:val="en-GB"/>
        </w:rPr>
        <w:t>co</w:t>
      </w:r>
      <w:r>
        <w:rPr>
          <w:rFonts w:ascii="Times New Roman" w:hAnsi="Times New Roman"/>
          <w:color w:val="000000" w:themeColor="text1"/>
          <w:sz w:val="26"/>
          <w:lang w:val="en-GB"/>
        </w:rPr>
        <w:t xml:space="preserve">operation </w:t>
      </w:r>
      <w:r>
        <w:rPr>
          <w:rFonts w:ascii="Times New Roman" w:hAnsi="Times New Roman"/>
          <w:color w:val="000000" w:themeColor="text1"/>
          <w:sz w:val="26"/>
          <w:lang w:val="en-GB"/>
        </w:rPr>
        <w:t>with non-governmental organisations active in the area of prevention and combating of corruption, with a view to exercising public oversight.</w:t>
      </w:r>
    </w:p>
    <w:p>
      <w:pPr>
        <w:pStyle w:val="ListParagraph"/>
        <w:numPr>
          <w:ilvl w:val="0"/>
          <w:numId w:val="4"/>
        </w:numPr>
        <w:jc w:val="both"/>
        <w:rPr>
          <w:lang w:val="en-GB"/>
        </w:rPr>
      </w:pPr>
      <w:r>
        <w:rPr>
          <w:rFonts w:ascii="Times New Roman" w:hAnsi="Times New Roman"/>
          <w:color w:val="000000" w:themeColor="text1"/>
          <w:sz w:val="26"/>
          <w:lang w:val="en-GB"/>
        </w:rPr>
        <w:t>JSC NNEGC “Energoatom” strengthens its co</w:t>
      </w:r>
      <w:r>
        <w:rPr>
          <w:rFonts w:ascii="Times New Roman" w:hAnsi="Times New Roman"/>
          <w:color w:val="000000" w:themeColor="text1"/>
          <w:sz w:val="26"/>
          <w:lang w:val="en-GB"/>
        </w:rPr>
        <w:t xml:space="preserve">llaboration </w:t>
      </w:r>
      <w:r>
        <w:rPr>
          <w:rFonts w:ascii="Times New Roman" w:hAnsi="Times New Roman"/>
          <w:color w:val="000000" w:themeColor="text1"/>
          <w:sz w:val="26"/>
          <w:lang w:val="en-GB"/>
        </w:rPr>
        <w:t xml:space="preserve">with law enforcement agencies, </w:t>
      </w:r>
      <w:r>
        <w:rPr>
          <w:rFonts w:ascii="Times New Roman" w:hAnsi="Times New Roman"/>
          <w:color w:val="000000" w:themeColor="text1"/>
          <w:sz w:val="26"/>
          <w:lang w:val="en-GB"/>
        </w:rPr>
        <w:t>such as</w:t>
      </w:r>
      <w:r>
        <w:rPr>
          <w:rFonts w:ascii="Times New Roman" w:hAnsi="Times New Roman"/>
          <w:color w:val="000000" w:themeColor="text1"/>
          <w:sz w:val="26"/>
          <w:lang w:val="en-GB"/>
        </w:rPr>
        <w:t xml:space="preserve"> </w:t>
      </w:r>
      <w:r>
        <w:rPr>
          <w:rFonts w:ascii="Times New Roman" w:hAnsi="Times New Roman"/>
          <w:color w:val="000000" w:themeColor="text1"/>
          <w:sz w:val="26"/>
          <w:lang w:val="en-GB"/>
        </w:rPr>
        <w:t>t</w:t>
      </w:r>
      <w:r>
        <w:rPr>
          <w:rFonts w:ascii="Times New Roman" w:hAnsi="Times New Roman"/>
          <w:color w:val="000000" w:themeColor="text1"/>
          <w:sz w:val="26"/>
          <w:lang w:val="en-GB"/>
        </w:rPr>
        <w:t xml:space="preserve">he National Police, the Public Prosecutor’s Office, the State Bureau of Investigation, the Economic Security Bureau, and the National Anti-Corruption Bureau of Ukraine, with a view to carrying out systematic audits of participants </w:t>
      </w:r>
      <w:r>
        <w:rPr>
          <w:rFonts w:ascii="Times New Roman" w:hAnsi="Times New Roman"/>
          <w:color w:val="000000" w:themeColor="text1"/>
          <w:sz w:val="26"/>
          <w:lang w:val="en-GB"/>
        </w:rPr>
        <w:t xml:space="preserve">taking part </w:t>
      </w:r>
      <w:r>
        <w:rPr>
          <w:rFonts w:ascii="Times New Roman" w:hAnsi="Times New Roman"/>
          <w:color w:val="000000" w:themeColor="text1"/>
          <w:sz w:val="26"/>
          <w:lang w:val="en-GB"/>
        </w:rPr>
        <w:t xml:space="preserve">in public procurement, and the Company’s counterparties. </w:t>
      </w:r>
    </w:p>
    <w:p>
      <w:pPr>
        <w:pStyle w:val="ListParagraph"/>
        <w:numPr>
          <w:ilvl w:val="0"/>
          <w:numId w:val="4"/>
        </w:numPr>
        <w:jc w:val="both"/>
        <w:rPr>
          <w:lang w:val="en-GB"/>
        </w:rPr>
      </w:pPr>
      <w:r>
        <w:rPr>
          <w:rFonts w:ascii="Times New Roman" w:hAnsi="Times New Roman"/>
          <w:color w:val="000000" w:themeColor="text1"/>
          <w:sz w:val="26"/>
          <w:lang w:val="en-GB"/>
        </w:rPr>
        <w:t xml:space="preserve">JSC NNEGC “Energoatom” is continuously monitoring the media (mass media and online resources) to reveal any facts of potential violations </w:t>
      </w:r>
      <w:r>
        <w:rPr>
          <w:rFonts w:ascii="Times New Roman" w:hAnsi="Times New Roman"/>
          <w:color w:val="000000" w:themeColor="text1"/>
          <w:sz w:val="26"/>
          <w:lang w:val="en-GB"/>
        </w:rPr>
        <w:t xml:space="preserve">in the course of </w:t>
      </w:r>
      <w:r>
        <w:rPr>
          <w:rFonts w:ascii="Times New Roman" w:hAnsi="Times New Roman"/>
          <w:color w:val="000000" w:themeColor="text1"/>
          <w:sz w:val="26"/>
          <w:lang w:val="en-GB"/>
        </w:rPr>
        <w:t>public procurement.</w:t>
      </w:r>
    </w:p>
    <w:p>
      <w:pPr>
        <w:pStyle w:val="Normal"/>
        <w:jc w:val="both"/>
        <w:rPr>
          <w:rFonts w:ascii="Times New Roman" w:hAnsi="Times New Roman" w:cs="Times New Roman"/>
          <w:color w:val="000000" w:themeColor="text1"/>
          <w:sz w:val="16"/>
          <w:szCs w:val="16"/>
          <w:lang w:val="en-GB"/>
        </w:rPr>
      </w:pPr>
      <w:r>
        <w:rPr>
          <w:rFonts w:cs="Times New Roman" w:ascii="Times New Roman" w:hAnsi="Times New Roman"/>
          <w:color w:val="000000" w:themeColor="text1"/>
          <w:sz w:val="16"/>
          <w:szCs w:val="16"/>
          <w:lang w:val="en-GB"/>
        </w:rPr>
      </w:r>
    </w:p>
    <w:p>
      <w:pPr>
        <w:pStyle w:val="ListParagraph"/>
        <w:numPr>
          <w:ilvl w:val="0"/>
          <w:numId w:val="1"/>
        </w:numPr>
        <w:jc w:val="both"/>
        <w:rPr>
          <w:lang w:val="en-GB"/>
        </w:rPr>
      </w:pPr>
      <w:r>
        <w:rPr>
          <w:rFonts w:ascii="Times New Roman" w:hAnsi="Times New Roman"/>
          <w:b/>
          <w:color w:val="000000" w:themeColor="text1"/>
          <w:sz w:val="26"/>
          <w:lang w:val="en-GB"/>
        </w:rPr>
        <w:t>Digitalisation</w:t>
      </w:r>
    </w:p>
    <w:p>
      <w:pPr>
        <w:pStyle w:val="ListParagraph"/>
        <w:numPr>
          <w:ilvl w:val="0"/>
          <w:numId w:val="0"/>
        </w:numPr>
        <w:ind w:left="1440" w:hanging="0"/>
        <w:jc w:val="both"/>
        <w:rPr>
          <w:rFonts w:ascii="Times New Roman" w:hAnsi="Times New Roman" w:cs="Times New Roman"/>
          <w:b/>
          <w:b/>
          <w:color w:val="000000" w:themeColor="text1"/>
          <w:sz w:val="26"/>
          <w:szCs w:val="26"/>
        </w:rPr>
      </w:pPr>
      <w:r>
        <w:rPr>
          <w:lang w:val="en-GB"/>
        </w:rPr>
      </w:r>
    </w:p>
    <w:p>
      <w:pPr>
        <w:pStyle w:val="ListParagraph"/>
        <w:numPr>
          <w:ilvl w:val="0"/>
          <w:numId w:val="5"/>
        </w:numPr>
        <w:jc w:val="both"/>
        <w:rPr>
          <w:lang w:val="en-GB"/>
        </w:rPr>
      </w:pPr>
      <w:r>
        <w:rPr>
          <w:rFonts w:ascii="Times New Roman" w:hAnsi="Times New Roman"/>
          <w:color w:val="000000" w:themeColor="text1"/>
          <w:sz w:val="26"/>
          <w:lang w:val="en-GB"/>
        </w:rPr>
        <w:t xml:space="preserve">JSC NNEGC “Energoatom” </w:t>
      </w:r>
      <w:r>
        <w:rPr>
          <w:rFonts w:ascii="Times New Roman" w:hAnsi="Times New Roman"/>
          <w:color w:val="000000" w:themeColor="text1"/>
          <w:sz w:val="26"/>
          <w:lang w:val="en-GB"/>
        </w:rPr>
        <w:t xml:space="preserve">is </w:t>
      </w:r>
      <w:r>
        <w:rPr>
          <w:rFonts w:ascii="Times New Roman" w:hAnsi="Times New Roman"/>
          <w:color w:val="000000" w:themeColor="text1"/>
          <w:sz w:val="26"/>
          <w:lang w:val="en-GB"/>
        </w:rPr>
        <w:t>transitioning to the End-to-End digital accounting; minimising the impact of human errors in all stages of organising and conducting procurement through the digitalisation and automation of processes.</w:t>
      </w:r>
    </w:p>
    <w:p>
      <w:pPr>
        <w:pStyle w:val="Normal"/>
        <w:jc w:val="both"/>
        <w:rPr>
          <w:rFonts w:ascii="Times New Roman" w:hAnsi="Times New Roman" w:cs="Times New Roman"/>
          <w:color w:val="000000" w:themeColor="text1"/>
          <w:sz w:val="16"/>
          <w:szCs w:val="16"/>
          <w:lang w:val="en-GB"/>
        </w:rPr>
      </w:pPr>
      <w:r>
        <w:rPr>
          <w:rFonts w:cs="Times New Roman" w:ascii="Times New Roman" w:hAnsi="Times New Roman"/>
          <w:color w:val="000000" w:themeColor="text1"/>
          <w:sz w:val="16"/>
          <w:szCs w:val="16"/>
          <w:lang w:val="en-GB"/>
        </w:rPr>
      </w:r>
    </w:p>
    <w:p>
      <w:pPr>
        <w:pStyle w:val="ListParagraph"/>
        <w:numPr>
          <w:ilvl w:val="0"/>
          <w:numId w:val="1"/>
        </w:numPr>
        <w:jc w:val="both"/>
        <w:rPr>
          <w:lang w:val="en-GB"/>
        </w:rPr>
      </w:pPr>
      <w:r>
        <w:rPr>
          <w:rFonts w:ascii="Times New Roman" w:hAnsi="Times New Roman"/>
          <w:b/>
          <w:color w:val="000000" w:themeColor="text1"/>
          <w:sz w:val="26"/>
          <w:lang w:val="en-GB"/>
        </w:rPr>
        <w:t>Risk management</w:t>
      </w:r>
    </w:p>
    <w:p>
      <w:pPr>
        <w:pStyle w:val="ListParagraph"/>
        <w:numPr>
          <w:ilvl w:val="0"/>
          <w:numId w:val="0"/>
        </w:numPr>
        <w:ind w:left="1440" w:hanging="0"/>
        <w:jc w:val="both"/>
        <w:rPr>
          <w:rFonts w:ascii="Times New Roman" w:hAnsi="Times New Roman" w:cs="Times New Roman"/>
          <w:b/>
          <w:b/>
          <w:color w:val="000000" w:themeColor="text1"/>
          <w:sz w:val="26"/>
          <w:szCs w:val="26"/>
        </w:rPr>
      </w:pPr>
      <w:r>
        <w:rPr>
          <w:lang w:val="en-GB"/>
        </w:rPr>
      </w:r>
    </w:p>
    <w:p>
      <w:pPr>
        <w:pStyle w:val="ListParagraph"/>
        <w:numPr>
          <w:ilvl w:val="0"/>
          <w:numId w:val="6"/>
        </w:numPr>
        <w:jc w:val="both"/>
        <w:rPr>
          <w:lang w:val="en-GB"/>
        </w:rPr>
      </w:pPr>
      <w:r>
        <w:rPr>
          <w:rFonts w:ascii="Times New Roman" w:hAnsi="Times New Roman"/>
          <w:color w:val="000000" w:themeColor="text1"/>
          <w:sz w:val="26"/>
          <w:lang w:val="en-GB"/>
        </w:rPr>
        <w:t xml:space="preserve">JSC NNEGC “Energoatom” ensures that contracts are concluded on the basis of the results of procurement procedures applying a risk-informed approach to decision-making and taking into account the </w:t>
      </w:r>
      <w:r>
        <w:rPr>
          <w:rFonts w:ascii="Times New Roman" w:hAnsi="Times New Roman"/>
          <w:color w:val="000000" w:themeColor="text1"/>
          <w:sz w:val="26"/>
          <w:lang w:val="en-GB"/>
        </w:rPr>
        <w:t xml:space="preserve">outcomes </w:t>
      </w:r>
      <w:r>
        <w:rPr>
          <w:rFonts w:ascii="Times New Roman" w:hAnsi="Times New Roman"/>
          <w:color w:val="000000" w:themeColor="text1"/>
          <w:sz w:val="26"/>
          <w:lang w:val="en-GB"/>
        </w:rPr>
        <w:t>of a transparent and impartial process of the supplier due diligence.</w:t>
      </w:r>
    </w:p>
    <w:p>
      <w:pPr>
        <w:pStyle w:val="ListParagraph"/>
        <w:rPr>
          <w:rFonts w:ascii="Times New Roman" w:hAnsi="Times New Roman" w:cs="Times New Roman"/>
          <w:color w:val="000000" w:themeColor="text1"/>
          <w:sz w:val="26"/>
          <w:szCs w:val="26"/>
          <w:lang w:val="en-GB"/>
        </w:rPr>
      </w:pPr>
      <w:r>
        <w:rPr>
          <w:rFonts w:cs="Times New Roman" w:ascii="Times New Roman" w:hAnsi="Times New Roman"/>
          <w:color w:val="000000" w:themeColor="text1"/>
          <w:sz w:val="26"/>
          <w:szCs w:val="26"/>
          <w:lang w:val="en-GB"/>
        </w:rPr>
      </w:r>
    </w:p>
    <w:p>
      <w:pPr>
        <w:pStyle w:val="ListBullet"/>
        <w:ind w:left="0" w:right="-5" w:hanging="0"/>
        <w:rPr>
          <w:color w:val="000000" w:themeColor="text1"/>
          <w:lang w:val="en-GB"/>
        </w:rPr>
      </w:pPr>
      <w:r>
        <w:rPr>
          <w:color w:val="000000" w:themeColor="text1"/>
          <w:lang w:val="en-GB"/>
        </w:rPr>
      </w:r>
    </w:p>
    <w:p>
      <w:pPr>
        <w:pStyle w:val="ListBullet"/>
        <w:ind w:left="0" w:right="-5" w:hanging="0"/>
        <w:rPr>
          <w:color w:val="000000" w:themeColor="text1"/>
          <w:lang w:val="en-GB"/>
        </w:rPr>
      </w:pPr>
      <w:r>
        <w:rPr>
          <w:color w:val="000000" w:themeColor="text1"/>
          <w:lang w:val="en-GB"/>
        </w:rPr>
      </w:r>
    </w:p>
    <w:p>
      <w:pPr>
        <w:pStyle w:val="Normal"/>
        <w:rPr>
          <w:rFonts w:ascii="Times New Roman" w:hAnsi="Times New Roman" w:cs="Times New Roman"/>
          <w:color w:val="000000" w:themeColor="text1"/>
          <w:sz w:val="26"/>
          <w:szCs w:val="26"/>
        </w:rPr>
      </w:pPr>
      <w:r>
        <w:rPr>
          <w:rFonts w:ascii="Times New Roman" w:hAnsi="Times New Roman"/>
          <w:color w:val="000000" w:themeColor="text1"/>
          <w:sz w:val="26"/>
          <w:highlight w:val="yellow"/>
          <w:lang w:val="en-GB"/>
        </w:rPr>
        <w:t xml:space="preserve">Pavlo KOVTONYUK </w:t>
      </w:r>
    </w:p>
    <w:p>
      <w:pPr>
        <w:pStyle w:val="Normal"/>
        <w:rPr>
          <w:lang w:val="en-GB"/>
        </w:rPr>
      </w:pPr>
      <w:r>
        <w:rPr>
          <w:rFonts w:ascii="Times New Roman" w:hAnsi="Times New Roman"/>
          <w:color w:val="000000" w:themeColor="text1"/>
          <w:sz w:val="26"/>
          <w:highlight w:val="yellow"/>
          <w:lang w:val="en-GB"/>
        </w:rPr>
        <w:t>Acting Chief Executive Officer</w:t>
        <w:br/>
      </w:r>
      <w:r>
        <w:rPr>
          <w:rFonts w:ascii="Times New Roman" w:hAnsi="Times New Roman"/>
          <w:color w:val="000000" w:themeColor="text1"/>
          <w:sz w:val="26"/>
          <w:lang w:val="en-GB"/>
        </w:rPr>
        <w:br/>
      </w:r>
    </w:p>
    <w:sectPr>
      <w:type w:val="nextPage"/>
      <w:pgSz w:w="11906" w:h="16838"/>
      <w:pgMar w:left="1417" w:right="850" w:header="0" w:top="850" w:footer="0" w:bottom="85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libri Light">
    <w:charset w:val="cc"/>
    <w:family w:val="roman"/>
    <w:pitch w:val="variable"/>
  </w:font>
  <w:font w:name="Segoe UI">
    <w:charset w:val="cc"/>
    <w:family w:val="roman"/>
    <w:pitch w:val="variable"/>
  </w:font>
  <w:font w:name="Times New Roman">
    <w:charset w:val="cc"/>
    <w:family w:val="roman"/>
    <w:pitch w:val="variable"/>
  </w:font>
  <w:font w:name="Liberation Sans">
    <w:altName w:val="Arial"/>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sz w:val="26"/>
        <w:b/>
        <w:rFonts w:cs="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bullet"/>
      <w:lvlText w:val=""/>
      <w:lvlJc w:val="left"/>
      <w:pPr>
        <w:ind w:left="720" w:hanging="360"/>
      </w:pPr>
      <w:rPr>
        <w:rFonts w:ascii="Symbol" w:hAnsi="Symbol" w:cs="Symbol" w:hint="default"/>
        <w:sz w:val="26"/>
        <w:rFonts w:cs="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bullet"/>
      <w:lvlText w:val=""/>
      <w:lvlJc w:val="left"/>
      <w:pPr>
        <w:ind w:left="720" w:hanging="360"/>
      </w:pPr>
      <w:rPr>
        <w:rFonts w:ascii="Symbol" w:hAnsi="Symbol" w:cs="Symbol" w:hint="default"/>
        <w:sz w:val="26"/>
        <w:rFonts w:cs="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lvl w:ilvl="0">
      <w:start w:val="1"/>
      <w:numFmt w:val="bullet"/>
      <w:lvlText w:val=""/>
      <w:lvlJc w:val="left"/>
      <w:pPr>
        <w:ind w:left="720" w:hanging="360"/>
      </w:pPr>
      <w:rPr>
        <w:rFonts w:ascii="Symbol" w:hAnsi="Symbol" w:cs="Symbol" w:hint="default"/>
        <w:sz w:val="26"/>
        <w:rFonts w:cs="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bullet"/>
      <w:lvlText w:val=""/>
      <w:lvlJc w:val="left"/>
      <w:pPr>
        <w:ind w:left="720" w:hanging="360"/>
      </w:pPr>
      <w:rPr>
        <w:rFonts w:ascii="Symbol" w:hAnsi="Symbol" w:cs="Symbol" w:hint="default"/>
        <w:sz w:val="26"/>
        <w:rFonts w:cs="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lvl w:ilvl="0">
      <w:start w:val="1"/>
      <w:numFmt w:val="bullet"/>
      <w:lvlText w:val=""/>
      <w:lvlJc w:val="left"/>
      <w:pPr>
        <w:ind w:left="720" w:hanging="360"/>
      </w:pPr>
      <w:rPr>
        <w:rFonts w:ascii="Symbol" w:hAnsi="Symbol" w:cs="Symbol" w:hint="default"/>
        <w:sz w:val="26"/>
        <w:rFonts w:cs="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Cs w:val="24"/>
        <w:lang w:val="en-GB" w:eastAsia="en-US" w:bidi="ar-SA"/>
        <w14:ligatures w14:val="standardContextual"/>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b1668"/>
    <w:pPr>
      <w:widowControl/>
      <w:bidi w:val="0"/>
      <w:spacing w:lineRule="auto" w:line="240" w:before="0" w:after="0"/>
      <w:jc w:val="left"/>
    </w:pPr>
    <w:rPr>
      <w:rFonts w:ascii="Calibri" w:hAnsi="Calibri" w:eastAsia="Calibri" w:cs=""/>
      <w:color w:val="auto"/>
      <w:kern w:val="0"/>
      <w:sz w:val="22"/>
      <w:szCs w:val="22"/>
      <w:lang w:eastAsia="en-US" w:bidi="ar-SA" w:val="en-GB"/>
      <w14:ligatures w14:val="none"/>
    </w:rPr>
  </w:style>
  <w:style w:type="paragraph" w:styleId="1">
    <w:name w:val="Heading 1"/>
    <w:basedOn w:val="Normal"/>
    <w:next w:val="Normal"/>
    <w:link w:val="10"/>
    <w:uiPriority w:val="9"/>
    <w:qFormat/>
    <w:rsid w:val="00fb1668"/>
    <w:pPr>
      <w:keepNext w:val="true"/>
      <w:keepLines/>
      <w:spacing w:before="360" w:after="80"/>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2">
    <w:name w:val="Heading 2"/>
    <w:basedOn w:val="Normal"/>
    <w:next w:val="Normal"/>
    <w:link w:val="20"/>
    <w:uiPriority w:val="9"/>
    <w:semiHidden/>
    <w:unhideWhenUsed/>
    <w:qFormat/>
    <w:rsid w:val="00fb1668"/>
    <w:pPr>
      <w:keepNext w:val="true"/>
      <w:keepLines/>
      <w:spacing w:before="160" w:after="80"/>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3">
    <w:name w:val="Heading 3"/>
    <w:basedOn w:val="Normal"/>
    <w:next w:val="Normal"/>
    <w:link w:val="30"/>
    <w:uiPriority w:val="9"/>
    <w:semiHidden/>
    <w:unhideWhenUsed/>
    <w:qFormat/>
    <w:rsid w:val="00fb1668"/>
    <w:pPr>
      <w:keepNext w:val="true"/>
      <w:keepLines/>
      <w:spacing w:before="160" w:after="80"/>
      <w:outlineLvl w:val="2"/>
    </w:pPr>
    <w:rPr>
      <w:rFonts w:eastAsia="" w:cs="" w:cstheme="majorBidi" w:eastAsiaTheme="majorEastAsia"/>
      <w:color w:val="2F5496" w:themeColor="accent1" w:themeShade="bf"/>
      <w:sz w:val="28"/>
      <w:szCs w:val="28"/>
    </w:rPr>
  </w:style>
  <w:style w:type="paragraph" w:styleId="4">
    <w:name w:val="Heading 4"/>
    <w:basedOn w:val="Normal"/>
    <w:next w:val="Normal"/>
    <w:link w:val="40"/>
    <w:uiPriority w:val="9"/>
    <w:semiHidden/>
    <w:unhideWhenUsed/>
    <w:qFormat/>
    <w:rsid w:val="00fb1668"/>
    <w:pPr>
      <w:keepNext w:val="true"/>
      <w:keepLines/>
      <w:spacing w:before="80" w:after="40"/>
      <w:outlineLvl w:val="3"/>
    </w:pPr>
    <w:rPr>
      <w:rFonts w:eastAsia="" w:cs="" w:cstheme="majorBidi" w:eastAsiaTheme="majorEastAsia"/>
      <w:i/>
      <w:iCs/>
      <w:color w:val="2F5496" w:themeColor="accent1" w:themeShade="bf"/>
    </w:rPr>
  </w:style>
  <w:style w:type="paragraph" w:styleId="5">
    <w:name w:val="Heading 5"/>
    <w:basedOn w:val="Normal"/>
    <w:next w:val="Normal"/>
    <w:link w:val="50"/>
    <w:uiPriority w:val="9"/>
    <w:semiHidden/>
    <w:unhideWhenUsed/>
    <w:qFormat/>
    <w:rsid w:val="00fb1668"/>
    <w:pPr>
      <w:keepNext w:val="true"/>
      <w:keepLines/>
      <w:spacing w:before="80" w:after="40"/>
      <w:outlineLvl w:val="4"/>
    </w:pPr>
    <w:rPr>
      <w:rFonts w:eastAsia="" w:cs="" w:cstheme="majorBidi" w:eastAsiaTheme="majorEastAsia"/>
      <w:color w:val="2F5496" w:themeColor="accent1" w:themeShade="bf"/>
    </w:rPr>
  </w:style>
  <w:style w:type="paragraph" w:styleId="6">
    <w:name w:val="Heading 6"/>
    <w:basedOn w:val="Normal"/>
    <w:next w:val="Normal"/>
    <w:link w:val="60"/>
    <w:uiPriority w:val="9"/>
    <w:semiHidden/>
    <w:unhideWhenUsed/>
    <w:qFormat/>
    <w:rsid w:val="00fb1668"/>
    <w:pPr>
      <w:keepNext w:val="true"/>
      <w:keepLines/>
      <w:spacing w:before="40" w:after="0"/>
      <w:outlineLvl w:val="5"/>
    </w:pPr>
    <w:rPr>
      <w:rFonts w:eastAsia="" w:cs="" w:cstheme="majorBidi" w:eastAsiaTheme="majorEastAsia"/>
      <w:i/>
      <w:iCs/>
      <w:color w:val="595959" w:themeColor="text1" w:themeTint="a6"/>
    </w:rPr>
  </w:style>
  <w:style w:type="paragraph" w:styleId="7">
    <w:name w:val="Heading 7"/>
    <w:basedOn w:val="Normal"/>
    <w:next w:val="Normal"/>
    <w:link w:val="70"/>
    <w:uiPriority w:val="9"/>
    <w:semiHidden/>
    <w:unhideWhenUsed/>
    <w:qFormat/>
    <w:rsid w:val="00fb1668"/>
    <w:pPr>
      <w:keepNext w:val="true"/>
      <w:keepLines/>
      <w:spacing w:before="40" w:after="0"/>
      <w:outlineLvl w:val="6"/>
    </w:pPr>
    <w:rPr>
      <w:rFonts w:eastAsia="" w:cs="" w:cstheme="majorBidi" w:eastAsiaTheme="majorEastAsia"/>
      <w:color w:val="595959" w:themeColor="text1" w:themeTint="a6"/>
    </w:rPr>
  </w:style>
  <w:style w:type="paragraph" w:styleId="8">
    <w:name w:val="Heading 8"/>
    <w:basedOn w:val="Normal"/>
    <w:next w:val="Normal"/>
    <w:link w:val="80"/>
    <w:uiPriority w:val="9"/>
    <w:semiHidden/>
    <w:unhideWhenUsed/>
    <w:qFormat/>
    <w:rsid w:val="00fb1668"/>
    <w:pPr>
      <w:keepNext w:val="true"/>
      <w:keepLines/>
      <w:outlineLvl w:val="7"/>
    </w:pPr>
    <w:rPr>
      <w:rFonts w:eastAsia="" w:cs="" w:cstheme="majorBidi" w:eastAsiaTheme="majorEastAsia"/>
      <w:i/>
      <w:iCs/>
      <w:color w:val="272727" w:themeColor="text1" w:themeTint="d8"/>
    </w:rPr>
  </w:style>
  <w:style w:type="paragraph" w:styleId="9">
    <w:name w:val="Heading 9"/>
    <w:basedOn w:val="Normal"/>
    <w:next w:val="Normal"/>
    <w:link w:val="90"/>
    <w:uiPriority w:val="9"/>
    <w:semiHidden/>
    <w:unhideWhenUsed/>
    <w:qFormat/>
    <w:rsid w:val="00fb1668"/>
    <w:pPr>
      <w:keepNext w:val="true"/>
      <w:keepLines/>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uiPriority w:val="9"/>
    <w:qFormat/>
    <w:rsid w:val="00fb1668"/>
    <w:rPr>
      <w:rFonts w:ascii="Calibri Light" w:hAnsi="Calibri Light" w:eastAsia="" w:cs="" w:asciiTheme="majorHAnsi" w:cstheme="majorBidi" w:eastAsiaTheme="majorEastAsia" w:hAnsiTheme="majorHAnsi"/>
      <w:color w:val="2F5496" w:themeColor="accent1" w:themeShade="bf"/>
      <w:sz w:val="40"/>
      <w:szCs w:val="40"/>
    </w:rPr>
  </w:style>
  <w:style w:type="character" w:styleId="21" w:customStyle="1">
    <w:name w:val="Заголовок 2 Знак"/>
    <w:basedOn w:val="DefaultParagraphFont"/>
    <w:link w:val="2"/>
    <w:uiPriority w:val="9"/>
    <w:semiHidden/>
    <w:qFormat/>
    <w:rsid w:val="00fb1668"/>
    <w:rPr>
      <w:rFonts w:ascii="Calibri Light" w:hAnsi="Calibri Light" w:eastAsia="" w:cs="" w:asciiTheme="majorHAnsi" w:cstheme="majorBidi" w:eastAsiaTheme="majorEastAsia" w:hAnsiTheme="majorHAnsi"/>
      <w:color w:val="2F5496" w:themeColor="accent1" w:themeShade="bf"/>
      <w:sz w:val="32"/>
      <w:szCs w:val="32"/>
    </w:rPr>
  </w:style>
  <w:style w:type="character" w:styleId="31" w:customStyle="1">
    <w:name w:val="Заголовок 3 Знак"/>
    <w:basedOn w:val="DefaultParagraphFont"/>
    <w:link w:val="3"/>
    <w:uiPriority w:val="9"/>
    <w:semiHidden/>
    <w:qFormat/>
    <w:rsid w:val="00fb1668"/>
    <w:rPr>
      <w:rFonts w:eastAsia="" w:cs="" w:cstheme="majorBidi" w:eastAsiaTheme="majorEastAsia"/>
      <w:color w:val="2F5496" w:themeColor="accent1" w:themeShade="bf"/>
      <w:sz w:val="28"/>
      <w:szCs w:val="28"/>
    </w:rPr>
  </w:style>
  <w:style w:type="character" w:styleId="41" w:customStyle="1">
    <w:name w:val="Заголовок 4 Знак"/>
    <w:basedOn w:val="DefaultParagraphFont"/>
    <w:link w:val="4"/>
    <w:uiPriority w:val="9"/>
    <w:semiHidden/>
    <w:qFormat/>
    <w:rsid w:val="00fb1668"/>
    <w:rPr>
      <w:rFonts w:eastAsia="" w:cs="" w:cstheme="majorBidi" w:eastAsiaTheme="majorEastAsia"/>
      <w:i/>
      <w:iCs/>
      <w:color w:val="2F5496" w:themeColor="accent1" w:themeShade="bf"/>
    </w:rPr>
  </w:style>
  <w:style w:type="character" w:styleId="51" w:customStyle="1">
    <w:name w:val="Заголовок 5 Знак"/>
    <w:basedOn w:val="DefaultParagraphFont"/>
    <w:link w:val="5"/>
    <w:uiPriority w:val="9"/>
    <w:semiHidden/>
    <w:qFormat/>
    <w:rsid w:val="00fb1668"/>
    <w:rPr>
      <w:rFonts w:eastAsia="" w:cs="" w:cstheme="majorBidi" w:eastAsiaTheme="majorEastAsia"/>
      <w:color w:val="2F5496" w:themeColor="accent1" w:themeShade="bf"/>
    </w:rPr>
  </w:style>
  <w:style w:type="character" w:styleId="61" w:customStyle="1">
    <w:name w:val="Заголовок 6 Знак"/>
    <w:basedOn w:val="DefaultParagraphFont"/>
    <w:link w:val="6"/>
    <w:uiPriority w:val="9"/>
    <w:semiHidden/>
    <w:qFormat/>
    <w:rsid w:val="00fb1668"/>
    <w:rPr>
      <w:rFonts w:eastAsia="" w:cs="" w:cstheme="majorBidi" w:eastAsiaTheme="majorEastAsia"/>
      <w:i/>
      <w:iCs/>
      <w:color w:val="595959" w:themeColor="text1" w:themeTint="a6"/>
    </w:rPr>
  </w:style>
  <w:style w:type="character" w:styleId="71" w:customStyle="1">
    <w:name w:val="Заголовок 7 Знак"/>
    <w:basedOn w:val="DefaultParagraphFont"/>
    <w:link w:val="7"/>
    <w:uiPriority w:val="9"/>
    <w:semiHidden/>
    <w:qFormat/>
    <w:rsid w:val="00fb1668"/>
    <w:rPr>
      <w:rFonts w:eastAsia="" w:cs="" w:cstheme="majorBidi" w:eastAsiaTheme="majorEastAsia"/>
      <w:color w:val="595959" w:themeColor="text1" w:themeTint="a6"/>
    </w:rPr>
  </w:style>
  <w:style w:type="character" w:styleId="81" w:customStyle="1">
    <w:name w:val="Заголовок 8 Знак"/>
    <w:basedOn w:val="DefaultParagraphFont"/>
    <w:link w:val="8"/>
    <w:uiPriority w:val="9"/>
    <w:semiHidden/>
    <w:qFormat/>
    <w:rsid w:val="00fb1668"/>
    <w:rPr>
      <w:rFonts w:eastAsia="" w:cs="" w:cstheme="majorBidi" w:eastAsiaTheme="majorEastAsia"/>
      <w:i/>
      <w:iCs/>
      <w:color w:val="272727" w:themeColor="text1" w:themeTint="d8"/>
    </w:rPr>
  </w:style>
  <w:style w:type="character" w:styleId="91" w:customStyle="1">
    <w:name w:val="Заголовок 9 Знак"/>
    <w:basedOn w:val="DefaultParagraphFont"/>
    <w:link w:val="9"/>
    <w:uiPriority w:val="9"/>
    <w:semiHidden/>
    <w:qFormat/>
    <w:rsid w:val="00fb1668"/>
    <w:rPr>
      <w:rFonts w:eastAsia="" w:cs="" w:cstheme="majorBidi" w:eastAsiaTheme="majorEastAsia"/>
      <w:color w:val="272727" w:themeColor="text1" w:themeTint="d8"/>
    </w:rPr>
  </w:style>
  <w:style w:type="character" w:styleId="Style5" w:customStyle="1">
    <w:name w:val="Назва Знак"/>
    <w:basedOn w:val="DefaultParagraphFont"/>
    <w:link w:val="a3"/>
    <w:uiPriority w:val="10"/>
    <w:qFormat/>
    <w:rsid w:val="00fb1668"/>
    <w:rPr>
      <w:rFonts w:ascii="Calibri Light" w:hAnsi="Calibri Light" w:eastAsia="" w:cs="" w:asciiTheme="majorHAnsi" w:cstheme="majorBidi" w:eastAsiaTheme="majorEastAsia" w:hAnsiTheme="majorHAnsi"/>
      <w:spacing w:val="-10"/>
      <w:kern w:val="2"/>
      <w:sz w:val="56"/>
      <w:szCs w:val="56"/>
    </w:rPr>
  </w:style>
  <w:style w:type="character" w:styleId="Style6" w:customStyle="1">
    <w:name w:val="Підзаголовок Знак"/>
    <w:basedOn w:val="DefaultParagraphFont"/>
    <w:link w:val="a5"/>
    <w:uiPriority w:val="11"/>
    <w:qFormat/>
    <w:rsid w:val="00fb1668"/>
    <w:rPr>
      <w:rFonts w:eastAsia="" w:cs="" w:cstheme="majorBidi" w:eastAsiaTheme="majorEastAsia"/>
      <w:color w:val="595959" w:themeColor="text1" w:themeTint="a6"/>
      <w:spacing w:val="15"/>
      <w:sz w:val="28"/>
      <w:szCs w:val="28"/>
    </w:rPr>
  </w:style>
  <w:style w:type="character" w:styleId="Style7" w:customStyle="1">
    <w:name w:val="Цитата Знак"/>
    <w:basedOn w:val="DefaultParagraphFont"/>
    <w:link w:val="a7"/>
    <w:uiPriority w:val="29"/>
    <w:qFormat/>
    <w:rsid w:val="00fb1668"/>
    <w:rPr>
      <w:i/>
      <w:iCs/>
      <w:color w:val="404040" w:themeColor="text1" w:themeTint="bf"/>
    </w:rPr>
  </w:style>
  <w:style w:type="character" w:styleId="IntenseEmphasis">
    <w:name w:val="Intense Emphasis"/>
    <w:basedOn w:val="DefaultParagraphFont"/>
    <w:uiPriority w:val="21"/>
    <w:qFormat/>
    <w:rsid w:val="00fb1668"/>
    <w:rPr>
      <w:i/>
      <w:iCs/>
      <w:color w:val="2F5496" w:themeColor="accent1" w:themeShade="bf"/>
    </w:rPr>
  </w:style>
  <w:style w:type="character" w:styleId="Style8" w:customStyle="1">
    <w:name w:val="Насичена цитата Знак"/>
    <w:basedOn w:val="DefaultParagraphFont"/>
    <w:link w:val="ab"/>
    <w:uiPriority w:val="30"/>
    <w:qFormat/>
    <w:rsid w:val="00fb1668"/>
    <w:rPr>
      <w:i/>
      <w:iCs/>
      <w:color w:val="2F5496" w:themeColor="accent1" w:themeShade="bf"/>
    </w:rPr>
  </w:style>
  <w:style w:type="character" w:styleId="IntenseReference">
    <w:name w:val="Intense Reference"/>
    <w:basedOn w:val="DefaultParagraphFont"/>
    <w:uiPriority w:val="32"/>
    <w:qFormat/>
    <w:rsid w:val="00fb1668"/>
    <w:rPr>
      <w:b/>
      <w:bCs/>
      <w:smallCaps/>
      <w:color w:val="2F5496" w:themeColor="accent1" w:themeShade="bf"/>
      <w:spacing w:val="5"/>
    </w:rPr>
  </w:style>
  <w:style w:type="character" w:styleId="Style9" w:customStyle="1">
    <w:name w:val="Текст у виносці Знак"/>
    <w:basedOn w:val="DefaultParagraphFont"/>
    <w:link w:val="af"/>
    <w:uiPriority w:val="99"/>
    <w:semiHidden/>
    <w:qFormat/>
    <w:rsid w:val="00ec64bc"/>
    <w:rPr>
      <w:rFonts w:ascii="Segoe UI" w:hAnsi="Segoe UI" w:cs="Segoe UI"/>
      <w:kern w:val="0"/>
      <w:sz w:val="18"/>
      <w:szCs w:val="18"/>
      <w14:ligatures w14:val="none"/>
    </w:rPr>
  </w:style>
  <w:style w:type="character" w:styleId="Annotationreference">
    <w:name w:val="annotation reference"/>
    <w:basedOn w:val="DefaultParagraphFont"/>
    <w:uiPriority w:val="99"/>
    <w:semiHidden/>
    <w:unhideWhenUsed/>
    <w:qFormat/>
    <w:rsid w:val="006b10e0"/>
    <w:rPr>
      <w:sz w:val="16"/>
      <w:szCs w:val="16"/>
    </w:rPr>
  </w:style>
  <w:style w:type="character" w:styleId="Style10" w:customStyle="1">
    <w:name w:val="Текст примітки Знак"/>
    <w:basedOn w:val="DefaultParagraphFont"/>
    <w:link w:val="af2"/>
    <w:uiPriority w:val="99"/>
    <w:semiHidden/>
    <w:qFormat/>
    <w:rsid w:val="006b10e0"/>
    <w:rPr>
      <w:kern w:val="0"/>
      <w:sz w:val="20"/>
      <w:szCs w:val="20"/>
      <w14:ligatures w14:val="none"/>
    </w:rPr>
  </w:style>
  <w:style w:type="character" w:styleId="Style11" w:customStyle="1">
    <w:name w:val="Тема примітки Знак"/>
    <w:basedOn w:val="Style10"/>
    <w:link w:val="af4"/>
    <w:uiPriority w:val="99"/>
    <w:semiHidden/>
    <w:qFormat/>
    <w:rsid w:val="006b10e0"/>
    <w:rPr>
      <w:b/>
      <w:bCs/>
      <w:kern w:val="0"/>
      <w:sz w:val="20"/>
      <w:szCs w:val="20"/>
      <w14:ligatures w14:val="none"/>
    </w:rPr>
  </w:style>
  <w:style w:type="character" w:styleId="ListLabel1">
    <w:name w:val="ListLabel 1"/>
    <w:qFormat/>
    <w:rPr>
      <w:rFonts w:ascii="Times New Roman" w:hAnsi="Times New Roman" w:cs="Symbol"/>
      <w:b/>
      <w:sz w:val="26"/>
    </w:rPr>
  </w:style>
  <w:style w:type="character" w:styleId="ListLabel2">
    <w:name w:val="ListLabel 2"/>
    <w:qFormat/>
    <w:rPr>
      <w:rFonts w:ascii="Times New Roman" w:hAnsi="Times New Roman" w:cs="Symbol"/>
      <w:sz w:val="26"/>
    </w:rPr>
  </w:style>
  <w:style w:type="character" w:styleId="ListLabel3">
    <w:name w:val="ListLabel 3"/>
    <w:qFormat/>
    <w:rPr>
      <w:rFonts w:ascii="Times New Roman" w:hAnsi="Times New Roman" w:cs="Symbol"/>
      <w:sz w:val="26"/>
    </w:rPr>
  </w:style>
  <w:style w:type="character" w:styleId="ListLabel4">
    <w:name w:val="ListLabel 4"/>
    <w:qFormat/>
    <w:rPr>
      <w:rFonts w:ascii="Times New Roman" w:hAnsi="Times New Roman" w:cs="Symbol"/>
      <w:sz w:val="26"/>
    </w:rPr>
  </w:style>
  <w:style w:type="character" w:styleId="ListLabel5">
    <w:name w:val="ListLabel 5"/>
    <w:qFormat/>
    <w:rPr>
      <w:rFonts w:ascii="Times New Roman" w:hAnsi="Times New Roman" w:cs="Symbol"/>
      <w:sz w:val="26"/>
    </w:rPr>
  </w:style>
  <w:style w:type="character" w:styleId="ListLabel6">
    <w:name w:val="ListLabel 6"/>
    <w:qFormat/>
    <w:rPr>
      <w:rFonts w:ascii="Times New Roman" w:hAnsi="Times New Roman" w:cs="Symbol"/>
      <w:sz w:val="26"/>
    </w:rPr>
  </w:style>
  <w:style w:type="paragraph" w:styleId="Style12">
    <w:name w:val="Заголовок"/>
    <w:basedOn w:val="Normal"/>
    <w:next w:val="Style13"/>
    <w:qFormat/>
    <w:pPr>
      <w:keepNext w:val="true"/>
      <w:spacing w:before="240" w:after="120"/>
    </w:pPr>
    <w:rPr>
      <w:rFonts w:ascii="Liberation Sans" w:hAnsi="Liberation Sans" w:eastAsia="Microsoft YaHei" w:cs="Arial"/>
      <w:sz w:val="28"/>
      <w:szCs w:val="28"/>
    </w:rPr>
  </w:style>
  <w:style w:type="paragraph" w:styleId="Style13">
    <w:name w:val="Body Text"/>
    <w:basedOn w:val="Normal"/>
    <w:pPr>
      <w:spacing w:lineRule="auto" w:line="276" w:before="0" w:after="140"/>
    </w:pPr>
    <w:rPr/>
  </w:style>
  <w:style w:type="paragraph" w:styleId="Style14">
    <w:name w:val="List"/>
    <w:basedOn w:val="Style13"/>
    <w:pPr/>
    <w:rPr>
      <w:rFonts w:cs="Arial"/>
    </w:rPr>
  </w:style>
  <w:style w:type="paragraph" w:styleId="Style15">
    <w:name w:val="Caption"/>
    <w:basedOn w:val="Normal"/>
    <w:qFormat/>
    <w:pPr>
      <w:suppressLineNumbers/>
      <w:spacing w:before="120" w:after="120"/>
    </w:pPr>
    <w:rPr>
      <w:rFonts w:cs="Arial"/>
      <w:i/>
      <w:iCs/>
      <w:sz w:val="24"/>
      <w:szCs w:val="24"/>
    </w:rPr>
  </w:style>
  <w:style w:type="paragraph" w:styleId="Style16">
    <w:name w:val="Указатель"/>
    <w:basedOn w:val="Normal"/>
    <w:qFormat/>
    <w:pPr>
      <w:suppressLineNumbers/>
    </w:pPr>
    <w:rPr>
      <w:rFonts w:cs="Arial"/>
    </w:rPr>
  </w:style>
  <w:style w:type="paragraph" w:styleId="Style17">
    <w:name w:val="Title"/>
    <w:basedOn w:val="Normal"/>
    <w:next w:val="Normal"/>
    <w:link w:val="a4"/>
    <w:uiPriority w:val="10"/>
    <w:qFormat/>
    <w:rsid w:val="00fb1668"/>
    <w:pPr>
      <w:spacing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tyle18">
    <w:name w:val="Subtitle"/>
    <w:basedOn w:val="Normal"/>
    <w:next w:val="Normal"/>
    <w:link w:val="a6"/>
    <w:uiPriority w:val="11"/>
    <w:qFormat/>
    <w:rsid w:val="00fb1668"/>
    <w:pPr/>
    <w:rPr>
      <w:rFonts w:eastAsia="" w:cs="" w:cstheme="majorBidi" w:eastAsiaTheme="majorEastAsia"/>
      <w:color w:val="595959" w:themeColor="text1" w:themeTint="a6"/>
      <w:spacing w:val="15"/>
      <w:sz w:val="28"/>
      <w:szCs w:val="28"/>
    </w:rPr>
  </w:style>
  <w:style w:type="paragraph" w:styleId="Quote">
    <w:name w:val="Quote"/>
    <w:basedOn w:val="Normal"/>
    <w:next w:val="Normal"/>
    <w:link w:val="a8"/>
    <w:uiPriority w:val="29"/>
    <w:qFormat/>
    <w:rsid w:val="00fb1668"/>
    <w:pPr>
      <w:spacing w:before="160" w:after="0"/>
      <w:jc w:val="center"/>
    </w:pPr>
    <w:rPr>
      <w:i/>
      <w:iCs/>
      <w:color w:val="404040" w:themeColor="text1" w:themeTint="bf"/>
    </w:rPr>
  </w:style>
  <w:style w:type="paragraph" w:styleId="ListParagraph">
    <w:name w:val="List Paragraph"/>
    <w:basedOn w:val="Normal"/>
    <w:uiPriority w:val="34"/>
    <w:qFormat/>
    <w:rsid w:val="00fb1668"/>
    <w:pPr>
      <w:spacing w:before="0" w:after="0"/>
      <w:ind w:left="720" w:hanging="0"/>
      <w:contextualSpacing/>
    </w:pPr>
    <w:rPr/>
  </w:style>
  <w:style w:type="paragraph" w:styleId="IntenseQuote">
    <w:name w:val="Intense Quote"/>
    <w:basedOn w:val="Normal"/>
    <w:next w:val="Normal"/>
    <w:link w:val="ac"/>
    <w:uiPriority w:val="30"/>
    <w:qFormat/>
    <w:rsid w:val="00fb1668"/>
    <w:pPr>
      <w:pBdr>
        <w:top w:val="single" w:sz="4" w:space="10" w:color="2F5496"/>
        <w:bottom w:val="single" w:sz="4" w:space="10" w:color="2F5496"/>
      </w:pBdr>
      <w:spacing w:before="360" w:after="360"/>
      <w:ind w:left="864" w:right="864" w:hanging="0"/>
      <w:jc w:val="center"/>
    </w:pPr>
    <w:rPr>
      <w:i/>
      <w:iCs/>
      <w:color w:val="2F5496" w:themeColor="accent1" w:themeShade="bf"/>
    </w:rPr>
  </w:style>
  <w:style w:type="paragraph" w:styleId="ListBullet">
    <w:name w:val="List Bullet"/>
    <w:basedOn w:val="Normal"/>
    <w:qFormat/>
    <w:rsid w:val="00fb1668"/>
    <w:pPr>
      <w:overflowPunct w:val="false"/>
      <w:ind w:left="1440" w:hanging="270"/>
      <w:jc w:val="both"/>
      <w:textAlignment w:val="baseline"/>
    </w:pPr>
    <w:rPr>
      <w:rFonts w:ascii="Times New Roman" w:hAnsi="Times New Roman" w:eastAsia="Times New Roman" w:cs="Times New Roman"/>
      <w:sz w:val="26"/>
      <w:szCs w:val="26"/>
      <w:lang w:eastAsia="ru-RU"/>
    </w:rPr>
  </w:style>
  <w:style w:type="paragraph" w:styleId="BalloonText">
    <w:name w:val="Balloon Text"/>
    <w:basedOn w:val="Normal"/>
    <w:link w:val="af0"/>
    <w:uiPriority w:val="99"/>
    <w:semiHidden/>
    <w:unhideWhenUsed/>
    <w:qFormat/>
    <w:rsid w:val="00ec64bc"/>
    <w:pPr/>
    <w:rPr>
      <w:rFonts w:ascii="Segoe UI" w:hAnsi="Segoe UI" w:cs="Segoe UI"/>
      <w:sz w:val="18"/>
      <w:szCs w:val="18"/>
    </w:rPr>
  </w:style>
  <w:style w:type="paragraph" w:styleId="Annotationtext">
    <w:name w:val="annotation text"/>
    <w:basedOn w:val="Normal"/>
    <w:link w:val="af3"/>
    <w:uiPriority w:val="99"/>
    <w:semiHidden/>
    <w:unhideWhenUsed/>
    <w:qFormat/>
    <w:rsid w:val="006b10e0"/>
    <w:pPr/>
    <w:rPr>
      <w:sz w:val="20"/>
      <w:szCs w:val="20"/>
    </w:rPr>
  </w:style>
  <w:style w:type="paragraph" w:styleId="Annotationsubject">
    <w:name w:val="annotation subject"/>
    <w:basedOn w:val="Annotationtext"/>
    <w:next w:val="Annotationtext"/>
    <w:link w:val="af5"/>
    <w:uiPriority w:val="99"/>
    <w:semiHidden/>
    <w:unhideWhenUsed/>
    <w:qFormat/>
    <w:rsid w:val="006b10e0"/>
    <w:pPr/>
    <w:rPr>
      <w:b/>
      <w:bCs/>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Application>LibreOffice/6.2.2.2$Windows_X86_64 LibreOffice_project/2b840030fec2aae0fd2658d8d4f9548af4e3518d</Application>
  <Pages>3</Pages>
  <Words>905</Words>
  <Characters>5500</Characters>
  <CharactersWithSpaces>6368</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2026-08-31T08:00:00Z</dcterms:created>
  <dc:creator>Гашева Юлія Володимирівна</dc:creator>
  <dc:description/>
  <dc:language>en-GM</dc:language>
  <cp:lastModifiedBy/>
  <cp:lastPrinted>2026-07-21T14:10:00Z</cp:lastPrinted>
  <dcterms:modified xsi:type="dcterms:W3CDTF">2026-09-28T14:04:58Z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